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EF61C" w14:textId="0561FBC1" w:rsidR="00614F7B" w:rsidRPr="0033143F" w:rsidRDefault="00CD5BB7" w:rsidP="00783F05">
      <w:pPr>
        <w:spacing w:after="0"/>
        <w:jc w:val="both"/>
        <w:rPr>
          <w:b/>
          <w:bCs/>
          <w:sz w:val="21"/>
          <w:szCs w:val="21"/>
        </w:rPr>
      </w:pPr>
      <w:r w:rsidRPr="00CD5BB7">
        <w:rPr>
          <w:b/>
          <w:bCs/>
          <w:sz w:val="21"/>
          <w:szCs w:val="21"/>
        </w:rPr>
        <w:t>October is Menopause Awareness Month</w:t>
      </w:r>
    </w:p>
    <w:p w14:paraId="3B7D8858" w14:textId="096D56ED" w:rsidR="00D35A5A" w:rsidRPr="00D35A5A" w:rsidRDefault="00783F05" w:rsidP="00783F05">
      <w:pPr>
        <w:spacing w:after="0"/>
        <w:jc w:val="both"/>
        <w:rPr>
          <w:sz w:val="21"/>
          <w:szCs w:val="21"/>
        </w:rPr>
      </w:pPr>
      <w:r w:rsidRPr="00D35A5A">
        <w:rPr>
          <w:sz w:val="21"/>
          <w:szCs w:val="21"/>
        </w:rPr>
        <w:t xml:space="preserve">Menopause is understood as the time during a woman’s (or individual assigned female at birth) life when menstruation periods permanently stop. Officially, it is defined as occurring when there have been no periods for 12 consecutive months and no other biological or physiological cause can be identified. Also referred to as the “change of life”, this can cause a chain reaction of physical and psychological side-effects to a woman’s (or individual assigned female at birth) body, some of which can last for </w:t>
      </w:r>
      <w:r w:rsidR="00B13F01" w:rsidRPr="00D35A5A">
        <w:rPr>
          <w:sz w:val="21"/>
          <w:szCs w:val="21"/>
        </w:rPr>
        <w:t>several</w:t>
      </w:r>
      <w:r w:rsidRPr="00D35A5A">
        <w:rPr>
          <w:sz w:val="21"/>
          <w:szCs w:val="21"/>
        </w:rPr>
        <w:t xml:space="preserve"> years.</w:t>
      </w:r>
      <w:r w:rsidR="005D3D4C" w:rsidRPr="00D35A5A">
        <w:rPr>
          <w:sz w:val="21"/>
          <w:szCs w:val="21"/>
        </w:rPr>
        <w:t xml:space="preserve"> It’s important to note that menopause can impact any individual who was assigned female at birth and who retains the relevant anatomy, </w:t>
      </w:r>
      <w:r w:rsidR="00B13F01" w:rsidRPr="00D35A5A">
        <w:rPr>
          <w:sz w:val="21"/>
          <w:szCs w:val="21"/>
        </w:rPr>
        <w:t>whether</w:t>
      </w:r>
      <w:r w:rsidR="005D3D4C" w:rsidRPr="00D35A5A">
        <w:rPr>
          <w:sz w:val="21"/>
          <w:szCs w:val="21"/>
        </w:rPr>
        <w:t xml:space="preserve"> they currently present themselves in that gender. All employees, regardless of the gender they present as, including non-binary individuals, require support, flexibility and dignity in the workplace.</w:t>
      </w:r>
      <w:r w:rsidR="00F505B1">
        <w:rPr>
          <w:sz w:val="21"/>
          <w:szCs w:val="21"/>
        </w:rPr>
        <w:t xml:space="preserve"> </w:t>
      </w:r>
      <w:r w:rsidR="00F505B1" w:rsidRPr="00F505B1">
        <w:rPr>
          <w:sz w:val="21"/>
          <w:szCs w:val="21"/>
        </w:rPr>
        <w:t xml:space="preserve">Whilst menopause is not a protected </w:t>
      </w:r>
      <w:r w:rsidR="00B13F01" w:rsidRPr="00F505B1">
        <w:rPr>
          <w:sz w:val="21"/>
          <w:szCs w:val="21"/>
        </w:rPr>
        <w:t>characteristic, the</w:t>
      </w:r>
      <w:r w:rsidR="00F505B1" w:rsidRPr="00F505B1">
        <w:rPr>
          <w:sz w:val="21"/>
          <w:szCs w:val="21"/>
        </w:rPr>
        <w:t xml:space="preserve"> protections from the Equality Act 2010 still apply</w:t>
      </w:r>
      <w:r w:rsidR="003C2DF5">
        <w:rPr>
          <w:sz w:val="21"/>
          <w:szCs w:val="21"/>
        </w:rPr>
        <w:t>.</w:t>
      </w:r>
      <w:r w:rsidR="00F505B1" w:rsidRPr="00F505B1">
        <w:rPr>
          <w:sz w:val="21"/>
          <w:szCs w:val="21"/>
        </w:rPr>
        <w:t xml:space="preserve"> When severe, the symptoms of menopause can also meet the definition of disability under that Act, triggering the duty to make reasonable adjustments in the workplace.</w:t>
      </w:r>
    </w:p>
    <w:p w14:paraId="56254B9F" w14:textId="376D357C" w:rsidR="00FF601F" w:rsidRPr="00FF601F" w:rsidRDefault="00FF601F" w:rsidP="00FF601F">
      <w:pPr>
        <w:spacing w:after="0"/>
        <w:jc w:val="both"/>
        <w:rPr>
          <w:b/>
          <w:bCs/>
          <w:sz w:val="21"/>
          <w:szCs w:val="21"/>
        </w:rPr>
      </w:pPr>
      <w:r w:rsidRPr="00FF601F">
        <w:rPr>
          <w:b/>
          <w:bCs/>
          <w:sz w:val="21"/>
          <w:szCs w:val="21"/>
        </w:rPr>
        <w:t>Question</w:t>
      </w:r>
    </w:p>
    <w:p w14:paraId="485D0338" w14:textId="7B5683E0" w:rsidR="002A4EA9" w:rsidRPr="00D35A5A" w:rsidRDefault="00FF601F" w:rsidP="00FF601F">
      <w:pPr>
        <w:spacing w:after="0"/>
        <w:jc w:val="both"/>
        <w:rPr>
          <w:sz w:val="21"/>
          <w:szCs w:val="21"/>
        </w:rPr>
      </w:pPr>
      <w:r w:rsidRPr="00FF601F">
        <w:rPr>
          <w:sz w:val="21"/>
          <w:szCs w:val="21"/>
        </w:rPr>
        <w:t>I'm getting ready to write a menopause policy for my organisation, what should I include?</w:t>
      </w:r>
    </w:p>
    <w:p w14:paraId="4D11B0B7" w14:textId="762D0BA3" w:rsidR="00FF601F" w:rsidRPr="00FF601F" w:rsidRDefault="00FF601F" w:rsidP="00FF601F">
      <w:pPr>
        <w:spacing w:after="0"/>
        <w:jc w:val="both"/>
        <w:rPr>
          <w:b/>
          <w:bCs/>
          <w:sz w:val="21"/>
          <w:szCs w:val="21"/>
        </w:rPr>
      </w:pPr>
      <w:r w:rsidRPr="00FF601F">
        <w:rPr>
          <w:b/>
          <w:bCs/>
          <w:sz w:val="21"/>
          <w:szCs w:val="21"/>
        </w:rPr>
        <w:t>Answer</w:t>
      </w:r>
    </w:p>
    <w:p w14:paraId="73A8EBA0" w14:textId="46B57B6B" w:rsidR="00FF601F" w:rsidRPr="00FF601F" w:rsidRDefault="00FF601F" w:rsidP="00FF601F">
      <w:pPr>
        <w:spacing w:after="0"/>
        <w:jc w:val="both"/>
        <w:rPr>
          <w:sz w:val="21"/>
          <w:szCs w:val="21"/>
        </w:rPr>
      </w:pPr>
      <w:r w:rsidRPr="00FF601F">
        <w:rPr>
          <w:sz w:val="21"/>
          <w:szCs w:val="21"/>
        </w:rPr>
        <w:t>A menopause policy should act as a point of reference for employees who want to learn more about what support is on offer to employees affected by the menopause, as well as a guide for managers on how to manage an employee who is affected by the menopause.</w:t>
      </w:r>
      <w:r w:rsidRPr="00D35A5A">
        <w:rPr>
          <w:sz w:val="21"/>
          <w:szCs w:val="21"/>
        </w:rPr>
        <w:t xml:space="preserve"> </w:t>
      </w:r>
      <w:r w:rsidRPr="00FF601F">
        <w:rPr>
          <w:sz w:val="21"/>
          <w:szCs w:val="21"/>
        </w:rPr>
        <w:t>One of the purposes of a menopause policy is to create an inclusive and understanding workforce and this should be reinforced throughout the document. Things to consider in a menopause policy are:</w:t>
      </w:r>
    </w:p>
    <w:p w14:paraId="7052A023"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the effects of the menopause</w:t>
      </w:r>
    </w:p>
    <w:p w14:paraId="2CD6534E"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communication around the menopause</w:t>
      </w:r>
    </w:p>
    <w:p w14:paraId="3546A317"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adjustments due to the menopause</w:t>
      </w:r>
    </w:p>
    <w:p w14:paraId="71EB7554"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guidance on what to do if an employee is unwell due to menopausal symptoms</w:t>
      </w:r>
    </w:p>
    <w:p w14:paraId="71011EC2"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training</w:t>
      </w:r>
    </w:p>
    <w:p w14:paraId="5305F36F" w14:textId="77777777" w:rsidR="00FF601F" w:rsidRPr="00FF601F" w:rsidRDefault="00FF601F" w:rsidP="00FF601F">
      <w:pPr>
        <w:numPr>
          <w:ilvl w:val="0"/>
          <w:numId w:val="1"/>
        </w:numPr>
        <w:tabs>
          <w:tab w:val="clear" w:pos="360"/>
          <w:tab w:val="num" w:pos="720"/>
        </w:tabs>
        <w:spacing w:after="0"/>
        <w:jc w:val="both"/>
        <w:rPr>
          <w:sz w:val="21"/>
          <w:szCs w:val="21"/>
        </w:rPr>
      </w:pPr>
      <w:r w:rsidRPr="00FF601F">
        <w:rPr>
          <w:sz w:val="21"/>
          <w:szCs w:val="21"/>
        </w:rPr>
        <w:t>behavioural expectations</w:t>
      </w:r>
    </w:p>
    <w:p w14:paraId="2C5EFED4" w14:textId="1133208B" w:rsidR="00D35A5A" w:rsidRPr="0033143F" w:rsidRDefault="00FF601F" w:rsidP="0033143F">
      <w:pPr>
        <w:numPr>
          <w:ilvl w:val="0"/>
          <w:numId w:val="1"/>
        </w:numPr>
        <w:tabs>
          <w:tab w:val="clear" w:pos="360"/>
          <w:tab w:val="num" w:pos="720"/>
        </w:tabs>
        <w:spacing w:after="0"/>
        <w:jc w:val="both"/>
        <w:rPr>
          <w:sz w:val="21"/>
          <w:szCs w:val="21"/>
        </w:rPr>
      </w:pPr>
      <w:r w:rsidRPr="00FF601F">
        <w:rPr>
          <w:sz w:val="21"/>
          <w:szCs w:val="21"/>
        </w:rPr>
        <w:t>signposting to other support.</w:t>
      </w:r>
    </w:p>
    <w:p w14:paraId="41C42174" w14:textId="3F3A8983" w:rsidR="00AE7562" w:rsidRPr="00D35A5A" w:rsidRDefault="00AE7562" w:rsidP="00AE7562">
      <w:pPr>
        <w:spacing w:after="0"/>
        <w:jc w:val="both"/>
        <w:rPr>
          <w:b/>
          <w:bCs/>
          <w:sz w:val="21"/>
          <w:szCs w:val="21"/>
        </w:rPr>
      </w:pPr>
      <w:r w:rsidRPr="00D35A5A">
        <w:rPr>
          <w:b/>
          <w:bCs/>
          <w:sz w:val="21"/>
          <w:szCs w:val="21"/>
        </w:rPr>
        <w:t>The IOSH recommends the following in supporting those affected by the menopause:</w:t>
      </w:r>
    </w:p>
    <w:p w14:paraId="7D9BC5C3" w14:textId="2E1995CE" w:rsidR="00AE7562" w:rsidRPr="00D35A5A" w:rsidRDefault="00AE7562" w:rsidP="00AE7562">
      <w:pPr>
        <w:pStyle w:val="ListParagraph"/>
        <w:numPr>
          <w:ilvl w:val="0"/>
          <w:numId w:val="4"/>
        </w:numPr>
        <w:spacing w:after="0"/>
        <w:jc w:val="both"/>
        <w:rPr>
          <w:sz w:val="21"/>
          <w:szCs w:val="21"/>
        </w:rPr>
      </w:pPr>
      <w:r w:rsidRPr="00D35A5A">
        <w:rPr>
          <w:sz w:val="21"/>
          <w:szCs w:val="21"/>
        </w:rPr>
        <w:t xml:space="preserve">considering whether existing policies and procedures cater for the psychosocial needs of menopause-related issues, </w:t>
      </w:r>
      <w:proofErr w:type="spellStart"/>
      <w:r w:rsidRPr="00D35A5A">
        <w:rPr>
          <w:sz w:val="21"/>
          <w:szCs w:val="21"/>
        </w:rPr>
        <w:t>eg</w:t>
      </w:r>
      <w:proofErr w:type="spellEnd"/>
      <w:r w:rsidRPr="00D35A5A">
        <w:rPr>
          <w:sz w:val="21"/>
          <w:szCs w:val="21"/>
        </w:rPr>
        <w:t xml:space="preserve"> whether they can introduce flexible working patterns</w:t>
      </w:r>
    </w:p>
    <w:p w14:paraId="56A89031" w14:textId="7FAFCF72" w:rsidR="00AE7562" w:rsidRPr="00D35A5A" w:rsidRDefault="00AE7562" w:rsidP="00AE7562">
      <w:pPr>
        <w:pStyle w:val="ListParagraph"/>
        <w:numPr>
          <w:ilvl w:val="0"/>
          <w:numId w:val="4"/>
        </w:numPr>
        <w:spacing w:after="0"/>
        <w:jc w:val="both"/>
        <w:rPr>
          <w:sz w:val="21"/>
          <w:szCs w:val="21"/>
        </w:rPr>
      </w:pPr>
      <w:r w:rsidRPr="00D35A5A">
        <w:rPr>
          <w:sz w:val="21"/>
          <w:szCs w:val="21"/>
        </w:rPr>
        <w:t>ensuring risk assessments consider specific risks to menopausal individuals and identify reasonable adjustments for individuals</w:t>
      </w:r>
    </w:p>
    <w:p w14:paraId="5D0B6684" w14:textId="6555C568" w:rsidR="00AE7562" w:rsidRPr="00D35A5A" w:rsidRDefault="00AE7562" w:rsidP="00AE7562">
      <w:pPr>
        <w:pStyle w:val="ListParagraph"/>
        <w:numPr>
          <w:ilvl w:val="0"/>
          <w:numId w:val="4"/>
        </w:numPr>
        <w:spacing w:after="0"/>
        <w:jc w:val="both"/>
        <w:rPr>
          <w:sz w:val="21"/>
          <w:szCs w:val="21"/>
        </w:rPr>
      </w:pPr>
      <w:r w:rsidRPr="00D35A5A">
        <w:rPr>
          <w:sz w:val="21"/>
          <w:szCs w:val="21"/>
        </w:rPr>
        <w:t>developing awareness, training and education strategies that raise understanding of the menopause and associated symptoms, their impact on work and potential solutions</w:t>
      </w:r>
    </w:p>
    <w:p w14:paraId="633D8D1C" w14:textId="65066E75" w:rsidR="00AE7562" w:rsidRPr="00D35A5A" w:rsidRDefault="00AE7562" w:rsidP="00AE7562">
      <w:pPr>
        <w:pStyle w:val="ListParagraph"/>
        <w:numPr>
          <w:ilvl w:val="0"/>
          <w:numId w:val="4"/>
        </w:numPr>
        <w:spacing w:after="0"/>
        <w:jc w:val="both"/>
        <w:rPr>
          <w:sz w:val="21"/>
          <w:szCs w:val="21"/>
        </w:rPr>
      </w:pPr>
      <w:r w:rsidRPr="00D35A5A">
        <w:rPr>
          <w:sz w:val="21"/>
          <w:szCs w:val="21"/>
        </w:rPr>
        <w:t>following the advice of health and safety professionals based on the outcomes of age and gender-sensitive health risk assessments, including potential changes in functional capacities</w:t>
      </w:r>
    </w:p>
    <w:p w14:paraId="49C1D4D9" w14:textId="4B5B5E69" w:rsidR="00F63BA3" w:rsidRPr="00D35A5A" w:rsidRDefault="00AE7562" w:rsidP="00AE7562">
      <w:pPr>
        <w:pStyle w:val="ListParagraph"/>
        <w:numPr>
          <w:ilvl w:val="0"/>
          <w:numId w:val="4"/>
        </w:numPr>
        <w:spacing w:after="0"/>
        <w:jc w:val="both"/>
        <w:rPr>
          <w:sz w:val="21"/>
          <w:szCs w:val="21"/>
        </w:rPr>
      </w:pPr>
      <w:r w:rsidRPr="00D35A5A">
        <w:rPr>
          <w:sz w:val="21"/>
          <w:szCs w:val="21"/>
        </w:rPr>
        <w:t>developing more inclusive and supportive workplace cultures and managerial styles that make individuals feel comfortable disclosing symptoms or requesting adjustments to support them with symptoms.</w:t>
      </w:r>
    </w:p>
    <w:p w14:paraId="4CE68EBF" w14:textId="197B6E8E" w:rsidR="00B05212" w:rsidRDefault="00B05212" w:rsidP="002765D6">
      <w:pPr>
        <w:spacing w:after="0"/>
        <w:jc w:val="both"/>
        <w:rPr>
          <w:b/>
          <w:bCs/>
          <w:sz w:val="21"/>
          <w:szCs w:val="21"/>
        </w:rPr>
      </w:pPr>
      <w:r>
        <w:rPr>
          <w:b/>
          <w:bCs/>
          <w:sz w:val="21"/>
          <w:szCs w:val="21"/>
        </w:rPr>
        <w:t xml:space="preserve">Legal </w:t>
      </w:r>
      <w:r w:rsidR="00A6483F">
        <w:rPr>
          <w:b/>
          <w:bCs/>
          <w:sz w:val="21"/>
          <w:szCs w:val="21"/>
        </w:rPr>
        <w:t>Requirements:</w:t>
      </w:r>
    </w:p>
    <w:p w14:paraId="6DC0BF6B" w14:textId="34DAE240" w:rsidR="00A6483F" w:rsidRPr="00A6483F" w:rsidRDefault="00A6483F" w:rsidP="002765D6">
      <w:pPr>
        <w:spacing w:after="0"/>
        <w:jc w:val="both"/>
        <w:rPr>
          <w:sz w:val="21"/>
          <w:szCs w:val="21"/>
        </w:rPr>
      </w:pPr>
      <w:r w:rsidRPr="00A6483F">
        <w:rPr>
          <w:sz w:val="21"/>
          <w:szCs w:val="21"/>
        </w:rPr>
        <w:t>Employers are required under the Health and Safety at Work, etc Act 1974 to ensure the health, safety and welfare of their employees and, under the Workplace (Health, Safety and Welfare) Regulations 1992, to make workplaces suitable for the individuals who work in them. The duty under Management of Health and Safety at Work Regulations 1999 to carry out risk assessments should include any specific risks to menopausal women.</w:t>
      </w:r>
    </w:p>
    <w:p w14:paraId="2A683C36" w14:textId="77777777" w:rsidR="00B05212" w:rsidRPr="00D35A5A" w:rsidRDefault="00B05212" w:rsidP="002765D6">
      <w:pPr>
        <w:spacing w:after="0"/>
        <w:jc w:val="both"/>
        <w:rPr>
          <w:sz w:val="21"/>
          <w:szCs w:val="21"/>
        </w:rPr>
      </w:pPr>
    </w:p>
    <w:p w14:paraId="3411BCE4" w14:textId="2A082812" w:rsidR="002765D6" w:rsidRPr="006B769C" w:rsidRDefault="00BA2A7F" w:rsidP="00BA2A7F">
      <w:pPr>
        <w:spacing w:after="0"/>
        <w:jc w:val="both"/>
        <w:rPr>
          <w:b/>
          <w:bCs/>
          <w:sz w:val="21"/>
          <w:szCs w:val="21"/>
        </w:rPr>
      </w:pPr>
      <w:r w:rsidRPr="006B769C">
        <w:rPr>
          <w:b/>
          <w:bCs/>
          <w:sz w:val="21"/>
          <w:szCs w:val="21"/>
        </w:rPr>
        <w:t xml:space="preserve">More resources on menopause support are available on </w:t>
      </w:r>
      <w:hyperlink r:id="rId5" w:history="1">
        <w:r w:rsidRPr="00A801FB">
          <w:rPr>
            <w:rStyle w:val="Hyperlink"/>
            <w:b/>
            <w:bCs/>
            <w:sz w:val="21"/>
            <w:szCs w:val="21"/>
          </w:rPr>
          <w:t>CIPD HR-inform</w:t>
        </w:r>
      </w:hyperlink>
      <w:r w:rsidRPr="006B769C">
        <w:rPr>
          <w:b/>
          <w:bCs/>
          <w:sz w:val="21"/>
          <w:szCs w:val="21"/>
        </w:rPr>
        <w:t>.</w:t>
      </w:r>
      <w:r w:rsidRPr="006B769C">
        <w:rPr>
          <w:b/>
          <w:bCs/>
          <w:sz w:val="21"/>
          <w:szCs w:val="21"/>
        </w:rPr>
        <w:br/>
        <w:t xml:space="preserve">You can also download our practical how-to guide on supporting employees through menopause </w:t>
      </w:r>
      <w:hyperlink r:id="rId6" w:history="1">
        <w:r w:rsidRPr="00343A9F">
          <w:rPr>
            <w:rStyle w:val="Hyperlink"/>
            <w:b/>
            <w:bCs/>
            <w:sz w:val="21"/>
            <w:szCs w:val="21"/>
          </w:rPr>
          <w:t>HERE</w:t>
        </w:r>
      </w:hyperlink>
      <w:r w:rsidRPr="006B769C">
        <w:rPr>
          <w:b/>
          <w:bCs/>
          <w:sz w:val="21"/>
          <w:szCs w:val="21"/>
        </w:rPr>
        <w:t xml:space="preserve">. </w:t>
      </w:r>
      <w:r w:rsidR="00B63992" w:rsidRPr="006B769C">
        <w:rPr>
          <w:b/>
          <w:bCs/>
          <w:sz w:val="21"/>
          <w:szCs w:val="21"/>
        </w:rPr>
        <w:t xml:space="preserve"> </w:t>
      </w:r>
    </w:p>
    <w:sectPr w:rsidR="002765D6" w:rsidRPr="006B76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A20417"/>
    <w:multiLevelType w:val="multilevel"/>
    <w:tmpl w:val="0FDA8C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31536E1F"/>
    <w:multiLevelType w:val="hybridMultilevel"/>
    <w:tmpl w:val="B226CA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025386B"/>
    <w:multiLevelType w:val="multilevel"/>
    <w:tmpl w:val="2CD42EB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6D70367D"/>
    <w:multiLevelType w:val="hybridMultilevel"/>
    <w:tmpl w:val="26AE2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410343602">
    <w:abstractNumId w:val="2"/>
  </w:num>
  <w:num w:numId="2" w16cid:durableId="848720337">
    <w:abstractNumId w:val="0"/>
  </w:num>
  <w:num w:numId="3" w16cid:durableId="1037657826">
    <w:abstractNumId w:val="1"/>
  </w:num>
  <w:num w:numId="4" w16cid:durableId="21064585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3BA3"/>
    <w:rsid w:val="0003531B"/>
    <w:rsid w:val="001E3C19"/>
    <w:rsid w:val="00203CB2"/>
    <w:rsid w:val="00262D44"/>
    <w:rsid w:val="002765D6"/>
    <w:rsid w:val="002A3E01"/>
    <w:rsid w:val="002A4EA9"/>
    <w:rsid w:val="0033143F"/>
    <w:rsid w:val="00343A9F"/>
    <w:rsid w:val="003C2DF5"/>
    <w:rsid w:val="00503780"/>
    <w:rsid w:val="005D3D4C"/>
    <w:rsid w:val="00614F7B"/>
    <w:rsid w:val="006B769C"/>
    <w:rsid w:val="0071019D"/>
    <w:rsid w:val="00725FC0"/>
    <w:rsid w:val="00783F05"/>
    <w:rsid w:val="007D0A79"/>
    <w:rsid w:val="008249E6"/>
    <w:rsid w:val="008D600F"/>
    <w:rsid w:val="009358D6"/>
    <w:rsid w:val="00A6483F"/>
    <w:rsid w:val="00A801FB"/>
    <w:rsid w:val="00AD4BC8"/>
    <w:rsid w:val="00AD50DE"/>
    <w:rsid w:val="00AE7562"/>
    <w:rsid w:val="00B05212"/>
    <w:rsid w:val="00B13F01"/>
    <w:rsid w:val="00B3100D"/>
    <w:rsid w:val="00B63992"/>
    <w:rsid w:val="00BA2A7F"/>
    <w:rsid w:val="00C12ECB"/>
    <w:rsid w:val="00CA4B2E"/>
    <w:rsid w:val="00CD5BB7"/>
    <w:rsid w:val="00D35A5A"/>
    <w:rsid w:val="00D57D0C"/>
    <w:rsid w:val="00ED3EBC"/>
    <w:rsid w:val="00F41919"/>
    <w:rsid w:val="00F43D8D"/>
    <w:rsid w:val="00F505B1"/>
    <w:rsid w:val="00F63BA3"/>
    <w:rsid w:val="00F73961"/>
    <w:rsid w:val="00FF60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605AD"/>
  <w15:chartTrackingRefBased/>
  <w15:docId w15:val="{4FABF174-94E3-406F-B487-2D93A2C88F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3B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3B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3BA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3BA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3BA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3BA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3BA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3BA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3BA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3B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3B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3B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3B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3B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3B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3B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3B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3BA3"/>
    <w:rPr>
      <w:rFonts w:eastAsiaTheme="majorEastAsia" w:cstheme="majorBidi"/>
      <w:color w:val="272727" w:themeColor="text1" w:themeTint="D8"/>
    </w:rPr>
  </w:style>
  <w:style w:type="paragraph" w:styleId="Title">
    <w:name w:val="Title"/>
    <w:basedOn w:val="Normal"/>
    <w:next w:val="Normal"/>
    <w:link w:val="TitleChar"/>
    <w:uiPriority w:val="10"/>
    <w:qFormat/>
    <w:rsid w:val="00F63BA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3B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3BA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3B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3BA3"/>
    <w:pPr>
      <w:spacing w:before="160"/>
      <w:jc w:val="center"/>
    </w:pPr>
    <w:rPr>
      <w:i/>
      <w:iCs/>
      <w:color w:val="404040" w:themeColor="text1" w:themeTint="BF"/>
    </w:rPr>
  </w:style>
  <w:style w:type="character" w:customStyle="1" w:styleId="QuoteChar">
    <w:name w:val="Quote Char"/>
    <w:basedOn w:val="DefaultParagraphFont"/>
    <w:link w:val="Quote"/>
    <w:uiPriority w:val="29"/>
    <w:rsid w:val="00F63BA3"/>
    <w:rPr>
      <w:i/>
      <w:iCs/>
      <w:color w:val="404040" w:themeColor="text1" w:themeTint="BF"/>
    </w:rPr>
  </w:style>
  <w:style w:type="paragraph" w:styleId="ListParagraph">
    <w:name w:val="List Paragraph"/>
    <w:basedOn w:val="Normal"/>
    <w:uiPriority w:val="34"/>
    <w:qFormat/>
    <w:rsid w:val="00F63BA3"/>
    <w:pPr>
      <w:ind w:left="720"/>
      <w:contextualSpacing/>
    </w:pPr>
  </w:style>
  <w:style w:type="character" w:styleId="IntenseEmphasis">
    <w:name w:val="Intense Emphasis"/>
    <w:basedOn w:val="DefaultParagraphFont"/>
    <w:uiPriority w:val="21"/>
    <w:qFormat/>
    <w:rsid w:val="00F63BA3"/>
    <w:rPr>
      <w:i/>
      <w:iCs/>
      <w:color w:val="0F4761" w:themeColor="accent1" w:themeShade="BF"/>
    </w:rPr>
  </w:style>
  <w:style w:type="paragraph" w:styleId="IntenseQuote">
    <w:name w:val="Intense Quote"/>
    <w:basedOn w:val="Normal"/>
    <w:next w:val="Normal"/>
    <w:link w:val="IntenseQuoteChar"/>
    <w:uiPriority w:val="30"/>
    <w:qFormat/>
    <w:rsid w:val="00F63B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3BA3"/>
    <w:rPr>
      <w:i/>
      <w:iCs/>
      <w:color w:val="0F4761" w:themeColor="accent1" w:themeShade="BF"/>
    </w:rPr>
  </w:style>
  <w:style w:type="character" w:styleId="IntenseReference">
    <w:name w:val="Intense Reference"/>
    <w:basedOn w:val="DefaultParagraphFont"/>
    <w:uiPriority w:val="32"/>
    <w:qFormat/>
    <w:rsid w:val="00F63BA3"/>
    <w:rPr>
      <w:b/>
      <w:bCs/>
      <w:smallCaps/>
      <w:color w:val="0F4761" w:themeColor="accent1" w:themeShade="BF"/>
      <w:spacing w:val="5"/>
    </w:rPr>
  </w:style>
  <w:style w:type="character" w:styleId="Hyperlink">
    <w:name w:val="Hyperlink"/>
    <w:basedOn w:val="DefaultParagraphFont"/>
    <w:uiPriority w:val="99"/>
    <w:unhideWhenUsed/>
    <w:rsid w:val="00B3100D"/>
    <w:rPr>
      <w:color w:val="467886" w:themeColor="hyperlink"/>
      <w:u w:val="single"/>
    </w:rPr>
  </w:style>
  <w:style w:type="character" w:styleId="UnresolvedMention">
    <w:name w:val="Unresolved Mention"/>
    <w:basedOn w:val="DefaultParagraphFont"/>
    <w:uiPriority w:val="99"/>
    <w:semiHidden/>
    <w:unhideWhenUsed/>
    <w:rsid w:val="00B310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333079">
      <w:bodyDiv w:val="1"/>
      <w:marLeft w:val="0"/>
      <w:marRight w:val="0"/>
      <w:marTop w:val="0"/>
      <w:marBottom w:val="0"/>
      <w:divBdr>
        <w:top w:val="none" w:sz="0" w:space="0" w:color="auto"/>
        <w:left w:val="none" w:sz="0" w:space="0" w:color="auto"/>
        <w:bottom w:val="none" w:sz="0" w:space="0" w:color="auto"/>
        <w:right w:val="none" w:sz="0" w:space="0" w:color="auto"/>
      </w:divBdr>
    </w:div>
    <w:div w:id="635336005">
      <w:bodyDiv w:val="1"/>
      <w:marLeft w:val="0"/>
      <w:marRight w:val="0"/>
      <w:marTop w:val="0"/>
      <w:marBottom w:val="0"/>
      <w:divBdr>
        <w:top w:val="none" w:sz="0" w:space="0" w:color="auto"/>
        <w:left w:val="none" w:sz="0" w:space="0" w:color="auto"/>
        <w:bottom w:val="none" w:sz="0" w:space="0" w:color="auto"/>
        <w:right w:val="none" w:sz="0" w:space="0" w:color="auto"/>
      </w:divBdr>
    </w:div>
    <w:div w:id="812064517">
      <w:bodyDiv w:val="1"/>
      <w:marLeft w:val="0"/>
      <w:marRight w:val="0"/>
      <w:marTop w:val="0"/>
      <w:marBottom w:val="0"/>
      <w:divBdr>
        <w:top w:val="none" w:sz="0" w:space="0" w:color="auto"/>
        <w:left w:val="none" w:sz="0" w:space="0" w:color="auto"/>
        <w:bottom w:val="none" w:sz="0" w:space="0" w:color="auto"/>
        <w:right w:val="none" w:sz="0" w:space="0" w:color="auto"/>
      </w:divBdr>
      <w:divsChild>
        <w:div w:id="421415553">
          <w:marLeft w:val="0"/>
          <w:marRight w:val="0"/>
          <w:marTop w:val="0"/>
          <w:marBottom w:val="0"/>
          <w:divBdr>
            <w:top w:val="none" w:sz="0" w:space="0" w:color="auto"/>
            <w:left w:val="none" w:sz="0" w:space="0" w:color="auto"/>
            <w:bottom w:val="none" w:sz="0" w:space="0" w:color="auto"/>
            <w:right w:val="none" w:sz="0" w:space="0" w:color="auto"/>
          </w:divBdr>
        </w:div>
        <w:div w:id="1321346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ipd.hr-inform.co.uk/HRi-Partnership-Gated-Content_Gated-Content-Form.html?utm_source=CHN" TargetMode="External"/><Relationship Id="rId5" Type="http://schemas.openxmlformats.org/officeDocument/2006/relationships/hyperlink" Target="https://cipd.hr-inform.co.uk/3285-register.html?utm_campaign=3285&amp;utm_medium=partner&amp;utm_source=chn&amp;utm_content=cipd-hr-inform-lite-registratio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566</Words>
  <Characters>3230</Characters>
  <Application>Microsoft Office Word</Application>
  <DocSecurity>0</DocSecurity>
  <Lines>26</Lines>
  <Paragraphs>7</Paragraphs>
  <ScaleCrop>false</ScaleCrop>
  <Company/>
  <LinksUpToDate>false</LinksUpToDate>
  <CharactersWithSpaces>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Rahim Joseph-Garrison</dc:creator>
  <cp:keywords/>
  <dc:description/>
  <cp:lastModifiedBy>Rahim Joseph-Garrison</cp:lastModifiedBy>
  <cp:revision>7</cp:revision>
  <dcterms:created xsi:type="dcterms:W3CDTF">2025-10-02T13:42:00Z</dcterms:created>
  <dcterms:modified xsi:type="dcterms:W3CDTF">2025-10-09T11:41:00Z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bf18b82-6388-49b0-9adc-5d915add69d5_Enabled">
    <vt:lpwstr>true</vt:lpwstr>
  </property>
  <property fmtid="{D5CDD505-2E9C-101B-9397-08002B2CF9AE}" pid="3" name="MSIP_Label_cbf18b82-6388-49b0-9adc-5d915add69d5_SetDate">
    <vt:lpwstr>2025-10-02T09:28:27Z</vt:lpwstr>
  </property>
  <property fmtid="{D5CDD505-2E9C-101B-9397-08002B2CF9AE}" pid="4" name="MSIP_Label_cbf18b82-6388-49b0-9adc-5d915add69d5_Method">
    <vt:lpwstr>Privileged</vt:lpwstr>
  </property>
  <property fmtid="{D5CDD505-2E9C-101B-9397-08002B2CF9AE}" pid="5" name="MSIP_Label_cbf18b82-6388-49b0-9adc-5d915add69d5_Name">
    <vt:lpwstr>Public</vt:lpwstr>
  </property>
  <property fmtid="{D5CDD505-2E9C-101B-9397-08002B2CF9AE}" pid="6" name="MSIP_Label_cbf18b82-6388-49b0-9adc-5d915add69d5_SiteId">
    <vt:lpwstr>f6aec7ed-3b3a-4826-99e1-1b3134e6b856</vt:lpwstr>
  </property>
  <property fmtid="{D5CDD505-2E9C-101B-9397-08002B2CF9AE}" pid="7" name="MSIP_Label_cbf18b82-6388-49b0-9adc-5d915add69d5_ActionId">
    <vt:lpwstr>26d40d65-6938-4b0f-a66d-0c6be8b5b47e</vt:lpwstr>
  </property>
  <property fmtid="{D5CDD505-2E9C-101B-9397-08002B2CF9AE}" pid="8" name="MSIP_Label_cbf18b82-6388-49b0-9adc-5d915add69d5_ContentBits">
    <vt:lpwstr>0</vt:lpwstr>
  </property>
  <property fmtid="{D5CDD505-2E9C-101B-9397-08002B2CF9AE}" pid="9" name="MSIP_Label_cbf18b82-6388-49b0-9adc-5d915add69d5_Tag">
    <vt:lpwstr>10, 0, 1, 1</vt:lpwstr>
  </property>
</Properties>
</file>